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18" w:rsidRPr="004D3A18" w:rsidRDefault="004D3A18" w:rsidP="004D3A1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4D3A18">
        <w:rPr>
          <w:rFonts w:ascii="Arial" w:eastAsia="Times New Roman" w:hAnsi="Arial" w:cs="Arial"/>
          <w:b/>
          <w:sz w:val="36"/>
          <w:szCs w:val="36"/>
          <w:lang w:val="ru-RU"/>
        </w:rPr>
        <w:t>Директивы и Регламенты ЕС Нового и Глобального подхода, предусматривающие СЕ-маркировку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4823"/>
        <w:gridCol w:w="2831"/>
      </w:tblGrid>
      <w:tr w:rsidR="004D3A18" w:rsidRPr="00C90B61" w:rsidTr="00B349BC">
        <w:trPr>
          <w:trHeight w:val="753"/>
        </w:trPr>
        <w:tc>
          <w:tcPr>
            <w:tcW w:w="1302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B349BC">
            <w:pPr>
              <w:spacing w:after="0" w:line="240" w:lineRule="auto"/>
              <w:ind w:left="-150" w:right="-149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Обозначение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директивы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регламента</w:t>
            </w:r>
            <w:proofErr w:type="spellEnd"/>
          </w:p>
        </w:tc>
        <w:tc>
          <w:tcPr>
            <w:tcW w:w="2330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Наименование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директивы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регламента</w:t>
            </w:r>
            <w:proofErr w:type="spellEnd"/>
          </w:p>
        </w:tc>
        <w:tc>
          <w:tcPr>
            <w:tcW w:w="1368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Обозначение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дополняющих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директив</w:t>
            </w:r>
            <w:proofErr w:type="spellEnd"/>
            <w:r w:rsidRPr="00C90B6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C90B61">
              <w:rPr>
                <w:rFonts w:ascii="Arial" w:eastAsia="Times New Roman" w:hAnsi="Arial" w:cs="Arial"/>
                <w:b/>
                <w:bCs/>
              </w:rPr>
              <w:t>регламентов</w:t>
            </w:r>
            <w:proofErr w:type="spellEnd"/>
          </w:p>
        </w:tc>
      </w:tr>
      <w:tr w:rsidR="004D3A18" w:rsidRPr="00C90B61" w:rsidTr="00B349BC">
        <w:trPr>
          <w:trHeight w:val="1109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1341EF" w:rsidRDefault="004D3A18" w:rsidP="001341EF">
            <w:pPr>
              <w:jc w:val="center"/>
              <w:rPr>
                <w:rFonts w:ascii="Arial" w:hAnsi="Arial" w:cs="Arial"/>
                <w:b/>
              </w:rPr>
            </w:pPr>
            <w:r w:rsidRPr="001341EF">
              <w:rPr>
                <w:rFonts w:ascii="Arial" w:hAnsi="Arial" w:cs="Arial"/>
                <w:b/>
              </w:rPr>
              <w:t>305/2011/EU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B349BC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C90B61">
              <w:rPr>
                <w:rFonts w:ascii="Arial" w:hAnsi="Arial" w:cs="Arial"/>
                <w:lang w:val="ru-RU"/>
              </w:rPr>
              <w:t>Регламент Европейского</w:t>
            </w:r>
            <w:r w:rsidR="00B349BC" w:rsidRPr="00C90B61">
              <w:rPr>
                <w:rFonts w:ascii="Arial" w:hAnsi="Arial" w:cs="Arial"/>
                <w:lang w:val="ru-RU"/>
              </w:rPr>
              <w:t xml:space="preserve"> парламента и Совета от 09.03.</w:t>
            </w:r>
            <w:r w:rsidRPr="00C90B61">
              <w:rPr>
                <w:rFonts w:ascii="Arial" w:hAnsi="Arial" w:cs="Arial"/>
                <w:lang w:val="ru-RU"/>
              </w:rPr>
              <w:t>2011 г., устанавливающий гармонизированные условия для размещения на рынке строительной продукции и отменяющий Директиву Совета 89/106/</w:t>
            </w:r>
            <w:r w:rsidRPr="00C90B61">
              <w:rPr>
                <w:rFonts w:ascii="Arial" w:hAnsi="Arial" w:cs="Arial"/>
              </w:rPr>
              <w:t>EEC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B349BC">
            <w:pPr>
              <w:rPr>
                <w:rFonts w:ascii="Arial" w:hAnsi="Arial" w:cs="Arial"/>
              </w:rPr>
            </w:pPr>
            <w:r w:rsidRPr="00C90B61">
              <w:rPr>
                <w:rFonts w:ascii="Arial" w:hAnsi="Arial" w:cs="Arial"/>
              </w:rPr>
              <w:t>568/2014/EU</w:t>
            </w:r>
            <w:r w:rsidRPr="00C90B61">
              <w:rPr>
                <w:rFonts w:ascii="Arial" w:hAnsi="Arial" w:cs="Arial"/>
              </w:rPr>
              <w:br/>
              <w:t>574/2014/EU</w:t>
            </w:r>
          </w:p>
        </w:tc>
      </w:tr>
      <w:tr w:rsidR="004D3A18" w:rsidRPr="00C90B61" w:rsidTr="00B349BC">
        <w:trPr>
          <w:trHeight w:val="564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096477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</w:rPr>
              <w:t>2016/425/EU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096477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Регламент (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</w:rPr>
              <w:t>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) 2016/425 Европейского парламента и Совета от 9 марта 2016 г., касающийся средств индивидуальной защиты и отменяющий Директиву Совета 89/686/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</w:rPr>
              <w:t>EEC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096477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-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90/385/ЕЕС</w:t>
            </w:r>
            <w:r w:rsidR="00096477" w:rsidRPr="00C90B61">
              <w:rPr>
                <w:rFonts w:ascii="Arial" w:hAnsi="Arial" w:cs="Arial"/>
                <w:color w:val="212121"/>
                <w:shd w:val="clear" w:color="auto" w:fill="FFFFFF"/>
                <w:vertAlign w:val="superscript"/>
              </w:rPr>
              <w:t xml:space="preserve"> </w:t>
            </w:r>
            <w:r w:rsidR="00096477"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  <w:vertAlign w:val="superscript"/>
              </w:rPr>
              <w:t>1)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Совета от 20.06.</w:t>
            </w:r>
            <w:r w:rsidR="004D3A18" w:rsidRPr="00C90B61">
              <w:rPr>
                <w:rFonts w:ascii="Arial" w:eastAsia="Times New Roman" w:hAnsi="Arial" w:cs="Arial"/>
                <w:lang w:val="ru-RU"/>
              </w:rPr>
              <w:t>1990 г., касающаяся активных имплантируемых медицинских приборов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93/42/ЕЕС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93/68/ЕЕС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2007/47/ЕС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92/42/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EEC</w:t>
            </w:r>
            <w:r w:rsidR="00096477" w:rsidRPr="00C90B61">
              <w:rPr>
                <w:rFonts w:ascii="Arial" w:hAnsi="Arial" w:cs="Arial"/>
                <w:color w:val="212121"/>
                <w:shd w:val="clear" w:color="auto" w:fill="FFFFFF"/>
                <w:vertAlign w:val="superscript"/>
              </w:rPr>
              <w:t xml:space="preserve"> </w:t>
            </w:r>
            <w:r w:rsidR="00096477"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Совета от 21.05.</w:t>
            </w:r>
            <w:r w:rsidR="004D3A18" w:rsidRPr="00C90B61">
              <w:rPr>
                <w:rFonts w:ascii="Arial" w:eastAsia="Times New Roman" w:hAnsi="Arial" w:cs="Arial"/>
                <w:lang w:val="ru-RU"/>
              </w:rPr>
              <w:t>1992 г., касающаяся требований КПД для новых водогрейных котлов, работающих на жидком или газообразном топливе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964E2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93/68/ЕЕС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93/42/ЕЕС</w:t>
            </w:r>
            <w:r w:rsidR="00964E2C" w:rsidRPr="00C90B61">
              <w:rPr>
                <w:rFonts w:ascii="Arial" w:hAnsi="Arial" w:cs="Arial"/>
                <w:color w:val="212121"/>
                <w:shd w:val="clear" w:color="auto" w:fill="FFFFFF"/>
                <w:vertAlign w:val="superscript"/>
              </w:rPr>
              <w:t xml:space="preserve"> </w:t>
            </w:r>
            <w:r w:rsidR="00964E2C"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Совета от 14.06.</w:t>
            </w:r>
            <w:r w:rsidR="004D3A18" w:rsidRPr="00C90B61">
              <w:rPr>
                <w:rFonts w:ascii="Arial" w:eastAsia="Times New Roman" w:hAnsi="Arial" w:cs="Arial"/>
                <w:lang w:val="ru-RU"/>
              </w:rPr>
              <w:t>1993 г., касающаяся медицинских изделий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98/79/ЕС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2000/70/ЕС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2001/104/</w:t>
            </w:r>
            <w:r w:rsidRPr="00C90B61">
              <w:rPr>
                <w:rFonts w:ascii="Arial" w:eastAsia="Times New Roman" w:hAnsi="Arial" w:cs="Arial"/>
              </w:rPr>
              <w:t>EC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2007/47/ЕС</w:t>
            </w:r>
          </w:p>
        </w:tc>
      </w:tr>
      <w:tr w:rsidR="004D3A18" w:rsidRPr="00C90B61" w:rsidTr="00B349BC">
        <w:trPr>
          <w:trHeight w:val="628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98/79/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EC</w:t>
            </w:r>
            <w:r w:rsidR="00964E2C" w:rsidRPr="00C90B61">
              <w:rPr>
                <w:rFonts w:ascii="Arial" w:hAnsi="Arial" w:cs="Arial"/>
                <w:color w:val="212121"/>
                <w:shd w:val="clear" w:color="auto" w:fill="FFFFFF"/>
                <w:vertAlign w:val="superscript"/>
              </w:rPr>
              <w:t xml:space="preserve"> </w:t>
            </w:r>
            <w:r w:rsidR="00964E2C"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рламента и Совета от 27.10.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1998 г., касающаяся медицинских средств для лабораторной диагностики </w:t>
            </w:r>
            <w:r w:rsidRPr="00C90B61">
              <w:rPr>
                <w:rFonts w:ascii="Arial" w:eastAsia="Times New Roman" w:hAnsi="Arial" w:cs="Arial"/>
              </w:rPr>
              <w:t>in</w:t>
            </w:r>
            <w:r w:rsidRPr="00C90B61">
              <w:rPr>
                <w:rFonts w:ascii="Arial" w:eastAsia="Times New Roman" w:hAnsi="Arial" w:cs="Arial"/>
                <w:lang w:val="ru-RU"/>
              </w:rPr>
              <w:t>-</w:t>
            </w:r>
            <w:r w:rsidRPr="00C90B61">
              <w:rPr>
                <w:rFonts w:ascii="Arial" w:eastAsia="Times New Roman" w:hAnsi="Arial" w:cs="Arial"/>
              </w:rPr>
              <w:t>vitro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2011/100/</w:t>
            </w:r>
            <w:r w:rsidRPr="00C90B61">
              <w:rPr>
                <w:rFonts w:ascii="Arial" w:eastAsia="Times New Roman" w:hAnsi="Arial" w:cs="Arial"/>
              </w:rPr>
              <w:t>EU</w:t>
            </w:r>
          </w:p>
        </w:tc>
      </w:tr>
      <w:tr w:rsidR="004D3A18" w:rsidRPr="00C90B61" w:rsidTr="00964E2C">
        <w:trPr>
          <w:trHeight w:val="1007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964E2C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</w:rPr>
              <w:t>2016/424/EU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964E2C" w:rsidP="00964E2C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Регламент (EU) 2016/424 Европейского парламента и Совета от 9 марта 2016 г., касающийся канатных установок и </w:t>
            </w:r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отменяющий  Директиву</w:t>
            </w:r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2000/9/EC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2000/14/ЕС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го парламента и Совета от 08.05.</w:t>
            </w:r>
            <w:r w:rsidRPr="00C90B61">
              <w:rPr>
                <w:rFonts w:ascii="Arial" w:eastAsia="Times New Roman" w:hAnsi="Arial" w:cs="Arial"/>
                <w:lang w:val="ru-RU"/>
              </w:rPr>
              <w:t>2000 г., касающаяся уровня шума оборудования, используемого вне помещений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2005/88/</w:t>
            </w:r>
            <w:r w:rsidRPr="00C90B61">
              <w:rPr>
                <w:rFonts w:ascii="Arial" w:eastAsia="Times New Roman" w:hAnsi="Arial" w:cs="Arial"/>
              </w:rPr>
              <w:t>EC</w:t>
            </w:r>
          </w:p>
        </w:tc>
      </w:tr>
      <w:tr w:rsidR="004D3A18" w:rsidRPr="00C90B61" w:rsidTr="00B349BC">
        <w:trPr>
          <w:trHeight w:val="802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2006/42/ЕС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о парламента и Совета от 17.05.</w:t>
            </w:r>
            <w:r w:rsidRPr="00C90B61">
              <w:rPr>
                <w:rFonts w:ascii="Arial" w:eastAsia="Times New Roman" w:hAnsi="Arial" w:cs="Arial"/>
                <w:lang w:val="ru-RU"/>
              </w:rPr>
              <w:t>2006 г., касающаяся продукции машиностроения и вносящая изменения в Директиву 95/16/</w:t>
            </w:r>
            <w:r w:rsidRPr="00C90B61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2009/127/</w:t>
            </w:r>
            <w:r w:rsidRPr="00C90B61">
              <w:rPr>
                <w:rFonts w:ascii="Arial" w:eastAsia="Times New Roman" w:hAnsi="Arial" w:cs="Arial"/>
              </w:rPr>
              <w:t>EC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167/2013/</w:t>
            </w:r>
            <w:r w:rsidRPr="00C90B61">
              <w:rPr>
                <w:rFonts w:ascii="Arial" w:eastAsia="Times New Roman" w:hAnsi="Arial" w:cs="Arial"/>
              </w:rPr>
              <w:t>EU</w:t>
            </w:r>
            <w:r w:rsidRPr="00C90B61">
              <w:rPr>
                <w:rFonts w:ascii="Arial" w:eastAsia="Times New Roman" w:hAnsi="Arial" w:cs="Arial"/>
                <w:lang w:val="ru-RU"/>
              </w:rPr>
              <w:br/>
              <w:t>2014/33/</w:t>
            </w:r>
            <w:r w:rsidRPr="00C90B61">
              <w:rPr>
                <w:rFonts w:ascii="Arial" w:eastAsia="Times New Roman" w:hAnsi="Arial" w:cs="Arial"/>
              </w:rPr>
              <w:t>EU</w:t>
            </w:r>
          </w:p>
        </w:tc>
      </w:tr>
      <w:tr w:rsidR="004D3A18" w:rsidRPr="001341EF" w:rsidTr="00B349BC">
        <w:trPr>
          <w:trHeight w:val="564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lastRenderedPageBreak/>
              <w:t>2009/48/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 xml:space="preserve"> парламента и Совета от 18.06.</w:t>
            </w:r>
            <w:r w:rsidRPr="00C90B61">
              <w:rPr>
                <w:rFonts w:ascii="Arial" w:eastAsia="Times New Roman" w:hAnsi="Arial" w:cs="Arial"/>
                <w:lang w:val="ru-RU"/>
              </w:rPr>
              <w:t>2009 г., касающаяся безопасности игрушек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875A7A" w:rsidP="004D3A1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2012/7/EU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681/2013/EU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2014/79/EU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2014/81/EU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2014/84/EU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2015/2115/EU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2015/2116/EU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2015/2117/EU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2017/738/EU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2017/774/EU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2017/898/EU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2018/725/EU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2009/125/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рламента и Совета от 21.10.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2009 г., учреждающая систему установления требований к </w:t>
            </w:r>
            <w:proofErr w:type="spellStart"/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эколо-гическому</w:t>
            </w:r>
            <w:proofErr w:type="spellEnd"/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проектированию продукции, 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свя-занной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 xml:space="preserve"> с энергопотреблением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2012/27/</w:t>
            </w:r>
            <w:r w:rsidRPr="00C90B61">
              <w:rPr>
                <w:rFonts w:ascii="Arial" w:eastAsia="Times New Roman" w:hAnsi="Arial" w:cs="Arial"/>
              </w:rPr>
              <w:t>EU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8F56CF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</w:rPr>
              <w:t>2016/426/EU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8F56CF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Регламент (EU) 2016/426 Европейского парламента и Совета от 9 марта 2016 г., касающийся 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газорасходных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 xml:space="preserve"> установок и отменяющий Директиву 2009/142/EC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1341EF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90B61">
              <w:rPr>
                <w:rFonts w:ascii="Arial" w:eastAsia="Times New Roman" w:hAnsi="Arial" w:cs="Arial"/>
                <w:b/>
                <w:bCs/>
              </w:rPr>
              <w:t>2011/65/EU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о парламента и Совета от 08.06</w:t>
            </w:r>
            <w:r w:rsidRPr="00C90B61">
              <w:rPr>
                <w:rFonts w:ascii="Arial" w:eastAsia="Times New Roman" w:hAnsi="Arial" w:cs="Arial"/>
                <w:lang w:val="ru-RU"/>
              </w:rPr>
              <w:t>2011 г. по ограничению использования определенных опасных веществ в электрическом и электронном оборудовании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C90B61">
              <w:rPr>
                <w:rFonts w:ascii="Arial" w:eastAsia="Times New Roman" w:hAnsi="Arial" w:cs="Arial"/>
                <w:lang w:val="de-DE"/>
              </w:rPr>
              <w:t>2012/50/EU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2012/51/EU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2014/2/EU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2014/3/EU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2014/4/EU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2014/5/EU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2014/6/EU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2014/8/EU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2014/9/EU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2014/10/EU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2014/11/EU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2014/12/EU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2014/13/EU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2014/14/EU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2014/15/EU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2014/16/EU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2014/69/EU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2014/70/EU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2014/71/EU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2014/72/EU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2014/73/EU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2014/74/EU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2014/75/EU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2014/76/EU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2015/573/EU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2015/574/EU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2015/863/EU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2016/585/EU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2016/1028/EU</w:t>
            </w:r>
            <w:r w:rsidRPr="00C90B61">
              <w:rPr>
                <w:rFonts w:ascii="Arial" w:eastAsia="Times New Roman" w:hAnsi="Arial" w:cs="Arial"/>
                <w:lang w:val="de-DE"/>
              </w:rPr>
              <w:br/>
              <w:t>2016/1029/EU</w:t>
            </w:r>
          </w:p>
          <w:p w:rsidR="00BE551F" w:rsidRPr="00C90B61" w:rsidRDefault="00BE551F" w:rsidP="004D3A1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2017/1009/EU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2017/1010/EU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lastRenderedPageBreak/>
              <w:t>2017/1011/EU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2017/1975/EU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2017/2102/EU</w:t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br/>
              <w:t>2018/736/EU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2018/737/EU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2018/738/EU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2018/739/EU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2018/740/EU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2018/741/EU</w:t>
            </w:r>
            <w:r w:rsidRPr="00C90B61">
              <w:rPr>
                <w:rFonts w:ascii="Arial" w:hAnsi="Arial" w:cs="Arial"/>
                <w:color w:val="212121"/>
                <w:lang w:val="de-DE"/>
              </w:rPr>
              <w:br/>
            </w: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de-DE"/>
              </w:rPr>
              <w:t>2018/742/EU</w:t>
            </w:r>
          </w:p>
        </w:tc>
      </w:tr>
      <w:tr w:rsidR="004D3A18" w:rsidRPr="00C90B61" w:rsidTr="00B349BC">
        <w:trPr>
          <w:trHeight w:val="485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90B61">
              <w:rPr>
                <w:rFonts w:ascii="Arial" w:eastAsia="Times New Roman" w:hAnsi="Arial" w:cs="Arial"/>
                <w:b/>
                <w:bCs/>
              </w:rPr>
              <w:lastRenderedPageBreak/>
              <w:t>2013/29/EU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 xml:space="preserve"> парламента и Совета от 12.06.</w:t>
            </w:r>
            <w:r w:rsidRPr="00C90B61">
              <w:rPr>
                <w:rFonts w:ascii="Arial" w:eastAsia="Times New Roman" w:hAnsi="Arial" w:cs="Arial"/>
                <w:lang w:val="ru-RU"/>
              </w:rPr>
              <w:t>2013 г., касающаяся размещения на рынке пиротехнических изделий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B349BC">
        <w:trPr>
          <w:trHeight w:val="755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2013/53/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т 20.11.</w:t>
            </w:r>
            <w:r w:rsidRPr="00C90B61">
              <w:rPr>
                <w:rFonts w:ascii="Arial" w:eastAsia="Times New Roman" w:hAnsi="Arial" w:cs="Arial"/>
                <w:lang w:val="ru-RU"/>
              </w:rPr>
              <w:t>2013 г., касающаяся прогулочных судов и гидроциклов и отменяющая Директиву 94/25/</w:t>
            </w:r>
            <w:r w:rsidRPr="00C90B61">
              <w:rPr>
                <w:rFonts w:ascii="Arial" w:eastAsia="Times New Roman" w:hAnsi="Arial" w:cs="Arial"/>
              </w:rPr>
              <w:t>EC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2014/28/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рламента и Совета от 26.02.</w:t>
            </w:r>
            <w:r w:rsidRPr="00C90B61">
              <w:rPr>
                <w:rFonts w:ascii="Arial" w:eastAsia="Times New Roman" w:hAnsi="Arial" w:cs="Arial"/>
                <w:lang w:val="ru-RU"/>
              </w:rPr>
              <w:t>2014 г., касающаяся обеспечения наличия на рынке и надзора за взрывчатыми веществами, применяемыми в гражданских целях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2014/29/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Директива</w:t>
            </w:r>
            <w:r w:rsidRPr="00C90B61">
              <w:rPr>
                <w:rFonts w:ascii="Arial" w:eastAsia="Times New Roman" w:hAnsi="Arial" w:cs="Arial"/>
              </w:rPr>
              <w:t> 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 Европейского</w:t>
            </w:r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па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рламента и Совета от 26.02.</w:t>
            </w:r>
            <w:r w:rsidRPr="00C90B61">
              <w:rPr>
                <w:rFonts w:ascii="Arial" w:eastAsia="Times New Roman" w:hAnsi="Arial" w:cs="Arial"/>
                <w:lang w:val="ru-RU"/>
              </w:rPr>
              <w:t>2014 г., касающаяся обеспечения наличия на рынке простых сосудов под давлением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2014/30/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рламента и Совета от 26.02.</w:t>
            </w:r>
            <w:r w:rsidRPr="00C90B61">
              <w:rPr>
                <w:rFonts w:ascii="Arial" w:eastAsia="Times New Roman" w:hAnsi="Arial" w:cs="Arial"/>
                <w:lang w:val="ru-RU"/>
              </w:rPr>
              <w:t>2014 г., касающаяся электромагнитной совместимости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2014/31/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Директива</w:t>
            </w:r>
            <w:r w:rsidRPr="00C90B61">
              <w:rPr>
                <w:rFonts w:ascii="Arial" w:eastAsia="Times New Roman" w:hAnsi="Arial" w:cs="Arial"/>
              </w:rPr>
              <w:t> 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 Европейского</w:t>
            </w:r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парламента и Совета 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от 26.02.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2014 г., касающаяся обеспечения наличия на рынке 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неавтомати-ческих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весоизмерительных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 xml:space="preserve"> приборов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2014/32/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Директива Европейского парламента и Совета от 26.02.2014 г., касающаяся обеспечения наличия на рынке </w:t>
            </w:r>
            <w:proofErr w:type="spellStart"/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измери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>-тельных</w:t>
            </w:r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приборов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2015/13/</w:t>
            </w:r>
            <w:r w:rsidRPr="00C90B61">
              <w:rPr>
                <w:rFonts w:ascii="Arial" w:eastAsia="Times New Roman" w:hAnsi="Arial" w:cs="Arial"/>
              </w:rPr>
              <w:t>EU </w:t>
            </w:r>
          </w:p>
        </w:tc>
      </w:tr>
      <w:tr w:rsidR="004D3A18" w:rsidRPr="00C90B61" w:rsidTr="00B349BC">
        <w:trPr>
          <w:trHeight w:val="785"/>
        </w:trPr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2014/33/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лифтов и компонентов безопасности для лифтов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2014/34/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Директива Европейского парламента и Совета от 26.02.2014 г., касающаяся </w:t>
            </w:r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обору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-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дования</w:t>
            </w:r>
            <w:proofErr w:type="spellEnd"/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и защитных систем, </w:t>
            </w:r>
            <w:proofErr w:type="spellStart"/>
            <w:r w:rsidRPr="00C90B61">
              <w:rPr>
                <w:rFonts w:ascii="Arial" w:eastAsia="Times New Roman" w:hAnsi="Arial" w:cs="Arial"/>
                <w:lang w:val="ru-RU"/>
              </w:rPr>
              <w:t>предназна</w:t>
            </w:r>
            <w:r w:rsidR="00B349BC" w:rsidRPr="00C90B61">
              <w:rPr>
                <w:rFonts w:ascii="Arial" w:eastAsia="Times New Roman" w:hAnsi="Arial" w:cs="Arial"/>
                <w:lang w:val="ru-RU"/>
              </w:rPr>
              <w:t>-</w:t>
            </w:r>
            <w:r w:rsidRPr="00C90B61">
              <w:rPr>
                <w:rFonts w:ascii="Arial" w:eastAsia="Times New Roman" w:hAnsi="Arial" w:cs="Arial"/>
                <w:lang w:val="ru-RU"/>
              </w:rPr>
              <w:t>ченных</w:t>
            </w:r>
            <w:proofErr w:type="spellEnd"/>
            <w:r w:rsidRPr="00C90B61">
              <w:rPr>
                <w:rFonts w:ascii="Arial" w:eastAsia="Times New Roman" w:hAnsi="Arial" w:cs="Arial"/>
                <w:lang w:val="ru-RU"/>
              </w:rPr>
              <w:t xml:space="preserve"> для использования в потенциально взрывоопасных атмосферах</w:t>
            </w:r>
            <w:r w:rsidRPr="00C90B6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9E04DE" w:rsidRPr="001341EF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4DE" w:rsidRPr="00C90B61" w:rsidRDefault="009E04DE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C90B61">
              <w:rPr>
                <w:rStyle w:val="a4"/>
                <w:rFonts w:ascii="Arial" w:hAnsi="Arial" w:cs="Arial"/>
                <w:color w:val="212121"/>
                <w:shd w:val="clear" w:color="auto" w:fill="FFFFFF"/>
              </w:rPr>
              <w:lastRenderedPageBreak/>
              <w:t>2014/35/EU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4DE" w:rsidRPr="00C90B61" w:rsidRDefault="009E04DE" w:rsidP="009E04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Директива Европейского парламента и Совета от 26 февраля 2014 г. по гармонизации законодательств государств-членов, касающихся обеспечения наличия на рынке электрического оборудования, предназначенного для применения в определенных пределах напряжения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4DE" w:rsidRPr="00C90B61" w:rsidRDefault="009E04DE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2014/53/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Директива Европейского парламента и Совета от 16.04.2014 г., касающаяся обеспечения наличия на рынке </w:t>
            </w:r>
            <w:proofErr w:type="spellStart"/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радиообору-дования</w:t>
            </w:r>
            <w:proofErr w:type="spellEnd"/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и отменяющая Директиву 1999/5/</w:t>
            </w:r>
            <w:r w:rsidRPr="00C90B61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4D3A18" w:rsidRPr="00C90B61" w:rsidTr="004D3A18">
        <w:tc>
          <w:tcPr>
            <w:tcW w:w="130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b/>
                <w:bCs/>
                <w:lang w:val="ru-RU"/>
              </w:rPr>
              <w:t>2014/68/</w:t>
            </w:r>
            <w:r w:rsidRPr="00C90B61">
              <w:rPr>
                <w:rFonts w:ascii="Arial" w:eastAsia="Times New Roman" w:hAnsi="Arial" w:cs="Arial"/>
                <w:b/>
                <w:bCs/>
              </w:rPr>
              <w:t>EU</w:t>
            </w:r>
          </w:p>
        </w:tc>
        <w:tc>
          <w:tcPr>
            <w:tcW w:w="233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 xml:space="preserve">Директива Европейского парламента и </w:t>
            </w:r>
            <w:proofErr w:type="gramStart"/>
            <w:r w:rsidRPr="00C90B61">
              <w:rPr>
                <w:rFonts w:ascii="Arial" w:eastAsia="Times New Roman" w:hAnsi="Arial" w:cs="Arial"/>
                <w:lang w:val="ru-RU"/>
              </w:rPr>
              <w:t>Совета</w:t>
            </w:r>
            <w:r w:rsidRPr="00C90B61">
              <w:rPr>
                <w:rFonts w:ascii="Arial" w:eastAsia="Times New Roman" w:hAnsi="Arial" w:cs="Arial"/>
              </w:rPr>
              <w:t> </w:t>
            </w:r>
            <w:r w:rsidRPr="00C90B61">
              <w:rPr>
                <w:rFonts w:ascii="Arial" w:eastAsia="Times New Roman" w:hAnsi="Arial" w:cs="Arial"/>
                <w:lang w:val="ru-RU"/>
              </w:rPr>
              <w:t xml:space="preserve"> от</w:t>
            </w:r>
            <w:proofErr w:type="gramEnd"/>
            <w:r w:rsidRPr="00C90B61">
              <w:rPr>
                <w:rFonts w:ascii="Arial" w:eastAsia="Times New Roman" w:hAnsi="Arial" w:cs="Arial"/>
                <w:lang w:val="ru-RU"/>
              </w:rPr>
              <w:t xml:space="preserve"> 15.05.2014 г., касающаяся обеспечения наличия на рынке оборудования под давлением</w:t>
            </w:r>
          </w:p>
        </w:tc>
        <w:tc>
          <w:tcPr>
            <w:tcW w:w="136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3A18" w:rsidRPr="00C90B61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C90B61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</w:tbl>
    <w:p w:rsidR="004D3A18" w:rsidRDefault="004D3A18" w:rsidP="004D3A18">
      <w:pPr>
        <w:spacing w:after="0" w:line="240" w:lineRule="auto"/>
        <w:rPr>
          <w:rFonts w:ascii="Arial" w:eastAsia="Times New Roman" w:hAnsi="Arial" w:cs="Arial"/>
        </w:rPr>
      </w:pPr>
    </w:p>
    <w:p w:rsidR="00B349BC" w:rsidRPr="004D3A18" w:rsidRDefault="00B349BC" w:rsidP="004D3A18">
      <w:pPr>
        <w:spacing w:after="0" w:line="240" w:lineRule="auto"/>
        <w:rPr>
          <w:rFonts w:ascii="Arial" w:eastAsia="Times New Roman" w:hAnsi="Arial" w:cs="Arial"/>
          <w:b/>
          <w:i/>
          <w:lang w:val="ru-RU"/>
        </w:rPr>
      </w:pPr>
      <w:r w:rsidRPr="00B349BC">
        <w:rPr>
          <w:rFonts w:ascii="Arial" w:eastAsia="Times New Roman" w:hAnsi="Arial" w:cs="Arial"/>
          <w:b/>
          <w:i/>
          <w:lang w:val="ru-RU"/>
        </w:rPr>
        <w:t>Примечание:</w:t>
      </w:r>
    </w:p>
    <w:p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1)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26.05.2020 (статьи 35-50, 101 и 103 применяются с 26.11.2017</w:t>
      </w:r>
      <w:proofErr w:type="gramStart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; 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статья</w:t>
      </w:r>
      <w:proofErr w:type="gramEnd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102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120(12) применяется с 26.05.2019).</w:t>
      </w:r>
    </w:p>
    <w:p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2)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Заменена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) № 813/2013 с 25.09.2013 кроме статей 7.2, 8 и Приложений </w:t>
      </w:r>
      <w:r>
        <w:rPr>
          <w:rFonts w:ascii="Helvetica" w:hAnsi="Helvetica" w:cs="Helvetica"/>
          <w:color w:val="212121"/>
          <w:sz w:val="21"/>
          <w:szCs w:val="21"/>
        </w:rPr>
        <w:t>III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– </w:t>
      </w:r>
      <w:r>
        <w:rPr>
          <w:rFonts w:ascii="Helvetica" w:hAnsi="Helvetica" w:cs="Helvetica"/>
          <w:color w:val="212121"/>
          <w:sz w:val="21"/>
          <w:szCs w:val="21"/>
        </w:rPr>
        <w:t>V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.</w:t>
      </w:r>
    </w:p>
    <w:p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3)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26.05.2020 (статьи 35-50, 101 и 103 применяются с 26.11.2017</w:t>
      </w:r>
      <w:proofErr w:type="gramStart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; 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статья</w:t>
      </w:r>
      <w:proofErr w:type="gramEnd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102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120(12) применяется с 26.05.2019).</w:t>
      </w:r>
    </w:p>
    <w:p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4)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2017/746 с 26.05.2022 (статьи 31-46 и 96 применяются с 26.11.2017; статья 97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110(10) применяется с 26.05.2019; статья 100 применяется с 25.11.2020).</w:t>
      </w:r>
    </w:p>
    <w:p w:rsidR="00400DBD" w:rsidRDefault="00400DBD">
      <w:pPr>
        <w:rPr>
          <w:rFonts w:ascii="Arial" w:hAnsi="Arial" w:cs="Arial"/>
          <w:lang w:val="ru-RU"/>
        </w:rPr>
      </w:pPr>
    </w:p>
    <w:p w:rsidR="001341EF" w:rsidRPr="001341EF" w:rsidRDefault="001341EF" w:rsidP="001341E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ДАКС, </w:t>
      </w:r>
      <w:hyperlink r:id="rId4" w:history="1">
        <w:r w:rsidRPr="00105B86">
          <w:rPr>
            <w:rStyle w:val="a5"/>
            <w:rFonts w:ascii="Arial" w:hAnsi="Arial" w:cs="Arial"/>
          </w:rPr>
          <w:t>www</w:t>
        </w:r>
        <w:r w:rsidRPr="001341EF">
          <w:rPr>
            <w:rStyle w:val="a5"/>
            <w:rFonts w:ascii="Arial" w:hAnsi="Arial" w:cs="Arial"/>
            <w:lang w:val="ru-RU"/>
          </w:rPr>
          <w:t>.</w:t>
        </w:r>
        <w:r w:rsidRPr="00105B86">
          <w:rPr>
            <w:rStyle w:val="a5"/>
            <w:rFonts w:ascii="Arial" w:hAnsi="Arial" w:cs="Arial"/>
          </w:rPr>
          <w:t>dakc</w:t>
        </w:r>
        <w:r w:rsidRPr="001341EF">
          <w:rPr>
            <w:rStyle w:val="a5"/>
            <w:rFonts w:ascii="Arial" w:hAnsi="Arial" w:cs="Arial"/>
            <w:lang w:val="ru-RU"/>
          </w:rPr>
          <w:t>-</w:t>
        </w:r>
        <w:r w:rsidRPr="00105B86">
          <w:rPr>
            <w:rStyle w:val="a5"/>
            <w:rFonts w:ascii="Arial" w:hAnsi="Arial" w:cs="Arial"/>
          </w:rPr>
          <w:t>tek</w:t>
        </w:r>
        <w:r w:rsidRPr="001341EF">
          <w:rPr>
            <w:rStyle w:val="a5"/>
            <w:rFonts w:ascii="Arial" w:hAnsi="Arial" w:cs="Arial"/>
            <w:lang w:val="ru-RU"/>
          </w:rPr>
          <w:t>.</w:t>
        </w:r>
        <w:r w:rsidRPr="00105B86">
          <w:rPr>
            <w:rStyle w:val="a5"/>
            <w:rFonts w:ascii="Arial" w:hAnsi="Arial" w:cs="Arial"/>
          </w:rPr>
          <w:t>com</w:t>
        </w:r>
      </w:hyperlink>
      <w:r w:rsidRPr="001341EF">
        <w:rPr>
          <w:rFonts w:ascii="Arial" w:hAnsi="Arial" w:cs="Arial"/>
          <w:lang w:val="ru-RU"/>
        </w:rPr>
        <w:t xml:space="preserve">, </w:t>
      </w:r>
      <w:hyperlink r:id="rId5" w:history="1">
        <w:r w:rsidRPr="00105B86">
          <w:rPr>
            <w:rStyle w:val="a5"/>
            <w:rFonts w:ascii="Arial" w:hAnsi="Arial" w:cs="Arial"/>
          </w:rPr>
          <w:t>office</w:t>
        </w:r>
        <w:r w:rsidRPr="001341EF">
          <w:rPr>
            <w:rStyle w:val="a5"/>
            <w:rFonts w:ascii="Arial" w:hAnsi="Arial" w:cs="Arial"/>
            <w:lang w:val="ru-RU"/>
          </w:rPr>
          <w:t>@</w:t>
        </w:r>
        <w:r w:rsidRPr="00105B86">
          <w:rPr>
            <w:rStyle w:val="a5"/>
            <w:rFonts w:ascii="Arial" w:hAnsi="Arial" w:cs="Arial"/>
          </w:rPr>
          <w:t>dakc</w:t>
        </w:r>
        <w:r w:rsidRPr="001341EF">
          <w:rPr>
            <w:rStyle w:val="a5"/>
            <w:rFonts w:ascii="Arial" w:hAnsi="Arial" w:cs="Arial"/>
            <w:lang w:val="ru-RU"/>
          </w:rPr>
          <w:t>-</w:t>
        </w:r>
        <w:r w:rsidRPr="00105B86">
          <w:rPr>
            <w:rStyle w:val="a5"/>
            <w:rFonts w:ascii="Arial" w:hAnsi="Arial" w:cs="Arial"/>
          </w:rPr>
          <w:t>tek</w:t>
        </w:r>
        <w:r w:rsidRPr="001341EF">
          <w:rPr>
            <w:rStyle w:val="a5"/>
            <w:rFonts w:ascii="Arial" w:hAnsi="Arial" w:cs="Arial"/>
            <w:lang w:val="ru-RU"/>
          </w:rPr>
          <w:t>.</w:t>
        </w:r>
        <w:r w:rsidRPr="00105B86">
          <w:rPr>
            <w:rStyle w:val="a5"/>
            <w:rFonts w:ascii="Arial" w:hAnsi="Arial" w:cs="Arial"/>
          </w:rPr>
          <w:t>com</w:t>
        </w:r>
      </w:hyperlink>
      <w:r w:rsidRPr="001341EF">
        <w:rPr>
          <w:rFonts w:ascii="Arial" w:hAnsi="Arial" w:cs="Arial"/>
          <w:lang w:val="ru-RU"/>
        </w:rPr>
        <w:t>, +380504109108</w:t>
      </w:r>
      <w:bookmarkStart w:id="0" w:name="_GoBack"/>
      <w:bookmarkEnd w:id="0"/>
    </w:p>
    <w:sectPr w:rsidR="001341EF" w:rsidRPr="001341EF" w:rsidSect="00B349BC">
      <w:pgSz w:w="12240" w:h="15840"/>
      <w:pgMar w:top="568" w:right="4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8"/>
    <w:rsid w:val="00096477"/>
    <w:rsid w:val="001341EF"/>
    <w:rsid w:val="00400DBD"/>
    <w:rsid w:val="004D3A18"/>
    <w:rsid w:val="006211BD"/>
    <w:rsid w:val="00875A7A"/>
    <w:rsid w:val="008F56CF"/>
    <w:rsid w:val="00964E2C"/>
    <w:rsid w:val="009E04DE"/>
    <w:rsid w:val="00B349BC"/>
    <w:rsid w:val="00BE551F"/>
    <w:rsid w:val="00C90B61"/>
    <w:rsid w:val="00D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F58D-8C48-495C-9A92-B05EB0B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9BC"/>
    <w:pPr>
      <w:spacing w:after="0" w:line="240" w:lineRule="auto"/>
    </w:pPr>
  </w:style>
  <w:style w:type="character" w:styleId="a4">
    <w:name w:val="Strong"/>
    <w:basedOn w:val="a0"/>
    <w:uiPriority w:val="22"/>
    <w:qFormat/>
    <w:rsid w:val="00096477"/>
    <w:rPr>
      <w:b/>
      <w:bCs/>
    </w:rPr>
  </w:style>
  <w:style w:type="paragraph" w:customStyle="1" w:styleId="justifyfull">
    <w:name w:val="justifyfull"/>
    <w:basedOn w:val="a"/>
    <w:rsid w:val="001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akc-tek.com" TargetMode="External"/><Relationship Id="rId4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10</cp:revision>
  <dcterms:created xsi:type="dcterms:W3CDTF">2017-01-03T18:42:00Z</dcterms:created>
  <dcterms:modified xsi:type="dcterms:W3CDTF">2018-06-20T21:09:00Z</dcterms:modified>
</cp:coreProperties>
</file>